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обзор-рекомендаций"/>
    <w:p>
      <w:pPr>
        <w:pStyle w:val="Heading3"/>
      </w:pPr>
      <w:r>
        <w:t xml:space="preserve">Обзор рекомендаций</w:t>
      </w:r>
    </w:p>
    <w:p>
      <w:pPr>
        <w:pStyle w:val="FirstParagraph"/>
      </w:pPr>
      <w:r>
        <w:t xml:space="preserve">13.08.2019</w:t>
      </w:r>
    </w:p>
    <w:bookmarkStart w:id="23" w:name="X926198d94f3696d5a242e4b786f9a8c615973c1"/>
    <w:p>
      <w:pPr>
        <w:pStyle w:val="Heading4"/>
      </w:pPr>
      <w:r>
        <w:t xml:space="preserve">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или предложение дачи взятки либо как согласие принять взятку или как просьба о даче взятки</w:t>
      </w:r>
    </w:p>
    <w:p>
      <w:pPr>
        <w:pStyle w:val="FirstParagraph"/>
      </w:pPr>
      <w:r>
        <w:br/>
      </w:r>
    </w:p>
    <w:p>
      <w:pPr>
        <w:pStyle w:val="BodyText"/>
      </w:pPr>
      <w:r>
        <w:t xml:space="preserve">Дата публикации:</w:t>
      </w:r>
      <w:r>
        <w:t xml:space="preserve"> </w:t>
      </w:r>
      <w:r>
        <w:rPr>
          <w:bCs/>
          <w:b/>
        </w:rPr>
        <w:t xml:space="preserve">24.04.2014</w:t>
      </w:r>
    </w:p>
    <w:p>
      <w:pPr>
        <w:pStyle w:val="BodyText"/>
      </w:pPr>
      <w:r>
        <w:br/>
      </w:r>
    </w:p>
    <w:p>
      <w:pPr>
        <w:pStyle w:val="BodyText"/>
      </w:pPr>
      <w:r>
        <w:rPr>
          <w:iCs/>
          <w:i/>
        </w:rPr>
        <w:t xml:space="preserve">актуализирован в июле 2015 г., внесены дополнения по вопросу ответственности за подкуп иностранных должностных лиц</w:t>
      </w:r>
    </w:p>
    <w:p>
      <w:pPr>
        <w:pStyle w:val="BodyText"/>
      </w:pPr>
      <w:r>
        <w:rPr>
          <w:bCs/>
          <w:b/>
        </w:rPr>
        <w:t xml:space="preserve">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pPr>
        <w:pStyle w:val="BodyText"/>
      </w:pPr>
      <w:r>
        <w:t xml:space="preserve">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pPr>
        <w:pStyle w:val="BodyText"/>
      </w:pPr>
      <w:r>
        <w:t xml:space="preserve">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pPr>
        <w:pStyle w:val="BodyText"/>
      </w:pPr>
      <w: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pPr>
        <w:pStyle w:val="BodyText"/>
      </w:pPr>
      <w:r>
        <w:t xml:space="preserve">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pPr>
        <w:pStyle w:val="BodyText"/>
      </w:pPr>
      <w:r>
        <w:t xml:space="preserve">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pPr>
        <w:pStyle w:val="BodyText"/>
      </w:pPr>
      <w:r>
        <w:t xml:space="preserve">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pPr>
        <w:pStyle w:val="BodyText"/>
      </w:pPr>
      <w:r>
        <w:t xml:space="preserve">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BodyText"/>
      </w:pPr>
      <w:r>
        <w:t xml:space="preserve">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pPr>
        <w:pStyle w:val="BodyText"/>
      </w:pPr>
      <w:r>
        <w:t xml:space="preserve">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pPr>
        <w:pStyle w:val="BodyText"/>
      </w:pPr>
      <w:r>
        <w:t xml:space="preserve">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pPr>
        <w:pStyle w:val="BodyText"/>
      </w:pPr>
      <w:r>
        <w:t xml:space="preserve">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pPr>
        <w:pStyle w:val="BodyText"/>
      </w:pPr>
      <w:r>
        <w:t xml:space="preserve">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pPr>
        <w:pStyle w:val="BodyText"/>
      </w:pPr>
      <w:r>
        <w:t xml:space="preserve">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pPr>
        <w:pStyle w:val="BodyText"/>
      </w:pPr>
      <w:r>
        <w:t xml:space="preserve">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pPr>
        <w:pStyle w:val="BodyText"/>
      </w:pPr>
      <w:r>
        <w:t xml:space="preserve">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pPr>
        <w:pStyle w:val="BodyText"/>
      </w:pPr>
      <w:r>
        <w:t xml:space="preserve">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pPr>
        <w:pStyle w:val="BodyText"/>
      </w:pPr>
      <w:r>
        <w:t xml:space="preserve">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20">
        <w:r>
          <w:rPr>
            <w:rStyle w:val="Hyperlink"/>
          </w:rPr>
          <w:t xml:space="preserve">http://www.rosmintrud.ru/ministry/programms/gossluzhba/antikorr/5/0</w:t>
        </w:r>
      </w:hyperlink>
      <w:r>
        <w:t xml:space="preserve">).</w:t>
      </w:r>
    </w:p>
    <w:p>
      <w:pPr>
        <w:pStyle w:val="BodyText"/>
      </w:pPr>
      <w: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pPr>
        <w:pStyle w:val="BodyText"/>
      </w:pPr>
      <w: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BodyText"/>
      </w:pPr>
      <w:r>
        <w:t xml:space="preserve">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pPr>
        <w:pStyle w:val="BodyText"/>
      </w:pPr>
      <w:r>
        <w:t xml:space="preserve">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pPr>
        <w:pStyle w:val="BodyText"/>
      </w:pPr>
      <w:r>
        <w:t xml:space="preserve">Мероприятия, включенные в комплекс мер, рекомендуется осуществлять по следующим направлениям:</w:t>
      </w:r>
    </w:p>
    <w:p>
      <w:pPr>
        <w:pStyle w:val="BodyText"/>
      </w:pPr>
      <w:r>
        <w:t xml:space="preserve">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BodyText"/>
      </w:pPr>
      <w: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BodyText"/>
      </w:pPr>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BodyText"/>
      </w:pPr>
      <w:r>
        <w:t xml:space="preserve">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BodyText"/>
      </w:pPr>
      <w:r>
        <w:t xml:space="preserve">Основными задачами осуществления комплекса мер являются:</w:t>
      </w:r>
    </w:p>
    <w:p>
      <w:pPr>
        <w:pStyle w:val="BodyText"/>
      </w:pPr>
      <w:r>
        <w:t xml:space="preserve">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BodyText"/>
      </w:pPr>
      <w:r>
        <w:t xml:space="preserve">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pPr>
        <w:pStyle w:val="BodyText"/>
      </w:pPr>
      <w:r>
        <w:t xml:space="preserve">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pPr>
        <w:pStyle w:val="BodyText"/>
      </w:pPr>
      <w:r>
        <w:rPr>
          <w:bCs/>
          <w:b/>
        </w:rPr>
        <w:t xml:space="preserve">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BodyText"/>
      </w:pPr>
      <w:r>
        <w:t xml:space="preserve">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BodyText"/>
      </w:pPr>
      <w:r>
        <w:t xml:space="preserve">Реализацию данного направления рекомендуется осуществлять посредством:</w:t>
      </w:r>
    </w:p>
    <w:p>
      <w:pPr>
        <w:numPr>
          <w:ilvl w:val="0"/>
          <w:numId w:val="1001"/>
        </w:numPr>
        <w:pStyle w:val="Compact"/>
      </w:pPr>
      <w:r>
        <w:t xml:space="preserve">проведения серии учебно-практических семинаров (тренингов);</w:t>
      </w:r>
    </w:p>
    <w:p>
      <w:pPr>
        <w:numPr>
          <w:ilvl w:val="0"/>
          <w:numId w:val="1001"/>
        </w:numPr>
        <w:pStyle w:val="Compact"/>
      </w:pPr>
      <w:r>
        <w:t xml:space="preserve">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pPr>
        <w:pStyle w:val="FirstParagraph"/>
      </w:pPr>
      <w:r>
        <w:t xml:space="preserve">1.1. В рамках серии учебно-практических семинаров является целесообразным рассмотрение следующих вопросов.</w:t>
      </w:r>
    </w:p>
    <w:p>
      <w:pPr>
        <w:pStyle w:val="BodyText"/>
      </w:pPr>
      <w:r>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pPr>
        <w:pStyle w:val="BodyText"/>
      </w:pPr>
      <w:r>
        <w:t xml:space="preserve">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pPr>
        <w:pStyle w:val="BodyText"/>
      </w:pPr>
      <w:r>
        <w:t xml:space="preserve">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BodyText"/>
      </w:pPr>
      <w:r>
        <w:t xml:space="preserve">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pPr>
        <w:pStyle w:val="BodyText"/>
      </w:pPr>
      <w:r>
        <w:t xml:space="preserve">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pPr>
        <w:pStyle w:val="BodyText"/>
      </w:pPr>
      <w:r>
        <w:t xml:space="preserve">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pPr>
        <w:pStyle w:val="BodyText"/>
      </w:pPr>
      <w: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pPr>
        <w:pStyle w:val="BodyText"/>
      </w:pPr>
      <w:r>
        <w:t xml:space="preserve">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pPr>
        <w:pStyle w:val="BodyText"/>
      </w:pPr>
      <w:r>
        <w:t xml:space="preserve">7) Исторические материалы по вышеуказанным вопросам, изложенным в Своде законов Российской Империи (Том III).</w:t>
      </w:r>
    </w:p>
    <w:p>
      <w:pPr>
        <w:pStyle w:val="BodyText"/>
      </w:pPr>
      <w:r>
        <w:t xml:space="preserve">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pPr>
        <w:pStyle w:val="BodyText"/>
      </w:pPr>
      <w:r>
        <w:t xml:space="preserve">Так в частности предлагается подготовить памятки для служащих и работников по следующим вопросам:</w:t>
      </w:r>
    </w:p>
    <w:p>
      <w:pPr>
        <w:pStyle w:val="BodyText"/>
      </w:pPr>
      <w:r>
        <w:t xml:space="preserve">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pPr>
        <w:pStyle w:val="BodyText"/>
      </w:pPr>
      <w: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pPr>
        <w:pStyle w:val="BodyText"/>
      </w:pPr>
      <w:r>
        <w:t xml:space="preserve">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BodyText"/>
      </w:pPr>
      <w: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BodyText"/>
      </w:pPr>
      <w:r>
        <w:t xml:space="preserve">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pPr>
        <w:pStyle w:val="BodyText"/>
      </w:pPr>
      <w:r>
        <w:t xml:space="preserve">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pPr>
        <w:pStyle w:val="BodyText"/>
      </w:pPr>
      <w:r>
        <w:t xml:space="preserve">В части организации семинаров (бесед, лекций, практических занятий) необходимо рассмотреть следующие вопросы.</w:t>
      </w:r>
    </w:p>
    <w:p>
      <w:pPr>
        <w:pStyle w:val="BodyText"/>
      </w:pPr>
      <w:r>
        <w:t xml:space="preserve">1) Порядок уведомления служащего и работника о фактах склонения к совершению коррупционного правонарушения.</w:t>
      </w:r>
    </w:p>
    <w:p>
      <w:pPr>
        <w:pStyle w:val="BodyText"/>
      </w:pPr>
      <w:r>
        <w:t xml:space="preserve">В ходе семинара, требуется:</w:t>
      </w:r>
    </w:p>
    <w:p>
      <w:pPr>
        <w:pStyle w:val="BodyText"/>
      </w:pPr>
      <w:r>
        <w:t xml:space="preserve">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pPr>
        <w:pStyle w:val="BodyText"/>
      </w:pPr>
      <w:r>
        <w:t xml:space="preserve">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pPr>
        <w:pStyle w:val="BodyText"/>
      </w:pPr>
      <w:r>
        <w:t xml:space="preserve">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pPr>
        <w:pStyle w:val="BodyText"/>
      </w:pPr>
      <w:r>
        <w:t xml:space="preserve">2) Порядок урегулирования конфликта интересов.</w:t>
      </w:r>
    </w:p>
    <w:p>
      <w:pPr>
        <w:pStyle w:val="BodyText"/>
      </w:pPr>
      <w:r>
        <w:t xml:space="preserve">В ходе семинара, необходимо:</w:t>
      </w:r>
    </w:p>
    <w:p>
      <w:pPr>
        <w:pStyle w:val="BodyText"/>
      </w:pPr>
      <w:r>
        <w:t xml:space="preserve">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pPr>
        <w:numPr>
          <w:ilvl w:val="0"/>
          <w:numId w:val="1002"/>
        </w:numPr>
        <w:pStyle w:val="Compact"/>
      </w:pPr>
      <w:r>
        <w:t xml:space="preserve">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pPr>
        <w:numPr>
          <w:ilvl w:val="0"/>
          <w:numId w:val="1002"/>
        </w:numPr>
        <w:pStyle w:val="Compact"/>
      </w:pPr>
      <w:r>
        <w:t xml:space="preserve">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pPr>
        <w:numPr>
          <w:ilvl w:val="0"/>
          <w:numId w:val="1002"/>
        </w:numPr>
        <w:pStyle w:val="Compact"/>
      </w:pPr>
      <w:r>
        <w:t xml:space="preserve">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pPr>
        <w:pStyle w:val="FirstParagraph"/>
      </w:pPr>
      <w:r>
        <w:t xml:space="preserve">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pPr>
        <w:pStyle w:val="BodyText"/>
      </w:pPr>
      <w:r>
        <w:t xml:space="preserve">в) обсудить со служащими и работниками типовые ситуации конфликта интересов и порядок уведомления о возникновении личной заинтересованности.</w:t>
      </w:r>
    </w:p>
    <w:p>
      <w:pPr>
        <w:pStyle w:val="BodyText"/>
      </w:pPr>
      <w:r>
        <w:t xml:space="preserve">3) Действия и высказывания, которые могут быть восприняты окружающими как согласие принять взятку или как просьба о даче взятки.</w:t>
      </w:r>
    </w:p>
    <w:p>
      <w:pPr>
        <w:pStyle w:val="BodyText"/>
      </w:pPr>
      <w:r>
        <w:t xml:space="preserve">В ходе семинара, является целесообразным, в частности:</w:t>
      </w:r>
    </w:p>
    <w:p>
      <w:pPr>
        <w:pStyle w:val="BodyText"/>
      </w:pPr>
      <w:r>
        <w:t xml:space="preserve">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pPr>
        <w:pStyle w:val="BodyText"/>
      </w:pPr>
      <w:r>
        <w:t xml:space="preserve">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pPr>
        <w:pStyle w:val="BodyText"/>
      </w:pPr>
      <w:r>
        <w:t xml:space="preserve">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pPr>
        <w:pStyle w:val="BodyText"/>
      </w:pPr>
      <w:r>
        <w:t xml:space="preserve">К числу таких тем относятся, например:</w:t>
      </w:r>
    </w:p>
    <w:p>
      <w:pPr>
        <w:numPr>
          <w:ilvl w:val="0"/>
          <w:numId w:val="1003"/>
        </w:numPr>
        <w:pStyle w:val="Compact"/>
      </w:pPr>
      <w:r>
        <w:t xml:space="preserve">низкий уровень заработной платы служащего, работника и нехватка денежных средств на реализацию тех или иных нужд;</w:t>
      </w:r>
    </w:p>
    <w:p>
      <w:pPr>
        <w:numPr>
          <w:ilvl w:val="0"/>
          <w:numId w:val="1003"/>
        </w:numPr>
        <w:pStyle w:val="Compact"/>
      </w:pPr>
      <w:r>
        <w:t xml:space="preserve">желание приобрести то или иное имущество, получить ту или иную услугу, отправиться в туристическую поездку;</w:t>
      </w:r>
    </w:p>
    <w:p>
      <w:pPr>
        <w:numPr>
          <w:ilvl w:val="0"/>
          <w:numId w:val="1003"/>
        </w:numPr>
        <w:pStyle w:val="Compact"/>
      </w:pPr>
      <w:r>
        <w:t xml:space="preserve">отсутствие работы у родственников служащего, работника;</w:t>
      </w:r>
    </w:p>
    <w:p>
      <w:pPr>
        <w:numPr>
          <w:ilvl w:val="0"/>
          <w:numId w:val="1003"/>
        </w:numPr>
        <w:pStyle w:val="Compact"/>
      </w:pPr>
      <w:r>
        <w:t xml:space="preserve">необходимость поступления детей служащего, работника в образовательные учреждения и т.д.</w:t>
      </w:r>
    </w:p>
    <w:p>
      <w:pPr>
        <w:pStyle w:val="FirstParagraph"/>
      </w:pPr>
      <w:r>
        <w:t xml:space="preserve">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pPr>
        <w:pStyle w:val="BodyText"/>
      </w:pPr>
      <w:r>
        <w:t xml:space="preserve">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pPr>
        <w:pStyle w:val="BodyText"/>
      </w:pPr>
      <w:r>
        <w:t xml:space="preserve">К числу таких предложений относятся, например предложения:</w:t>
      </w:r>
    </w:p>
    <w:p>
      <w:pPr>
        <w:numPr>
          <w:ilvl w:val="0"/>
          <w:numId w:val="1004"/>
        </w:numPr>
        <w:pStyle w:val="Compact"/>
      </w:pPr>
      <w:r>
        <w:t xml:space="preserve">предоставить служащему, работнику и/или его родственникам скидку;</w:t>
      </w:r>
    </w:p>
    <w:p>
      <w:pPr>
        <w:numPr>
          <w:ilvl w:val="0"/>
          <w:numId w:val="1004"/>
        </w:numPr>
        <w:pStyle w:val="Compact"/>
      </w:pPr>
      <w: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pPr>
        <w:numPr>
          <w:ilvl w:val="0"/>
          <w:numId w:val="1004"/>
        </w:numPr>
        <w:pStyle w:val="Compact"/>
      </w:pPr>
      <w:r>
        <w:t xml:space="preserve">внести деньги в конкретный благотворительный фонд;</w:t>
      </w:r>
    </w:p>
    <w:p>
      <w:pPr>
        <w:numPr>
          <w:ilvl w:val="0"/>
          <w:numId w:val="1004"/>
        </w:numPr>
        <w:pStyle w:val="Compact"/>
      </w:pPr>
      <w:r>
        <w:t xml:space="preserve">поддержать конкретную спортивную команду и т.д.</w:t>
      </w:r>
    </w:p>
    <w:p>
      <w:pPr>
        <w:pStyle w:val="FirstParagraph"/>
      </w:pPr>
      <w:r>
        <w:t xml:space="preserve">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pPr>
        <w:pStyle w:val="BodyText"/>
      </w:pPr>
      <w:r>
        <w:t xml:space="preserve">К числу таких действий относятся, например:</w:t>
      </w:r>
    </w:p>
    <w:p>
      <w:pPr>
        <w:numPr>
          <w:ilvl w:val="0"/>
          <w:numId w:val="1005"/>
        </w:numPr>
        <w:pStyle w:val="Compact"/>
      </w:pPr>
      <w:r>
        <w:t xml:space="preserve">регулярное получение подарков, даже (если речь идет не о государственном гражданском служащем) стоимостью менее 3000 рублей;</w:t>
      </w:r>
    </w:p>
    <w:p>
      <w:pPr>
        <w:numPr>
          <w:ilvl w:val="0"/>
          <w:numId w:val="1005"/>
        </w:numPr>
        <w:pStyle w:val="Compact"/>
      </w:pPr>
      <w:r>
        <w:t xml:space="preserve">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pPr>
        <w:pStyle w:val="FirstParagraph"/>
      </w:pPr>
      <w:r>
        <w:t xml:space="preserve">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pPr>
        <w:pStyle w:val="BodyText"/>
      </w:pPr>
      <w:r>
        <w:t xml:space="preserve">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pPr>
        <w:pStyle w:val="BodyText"/>
      </w:pPr>
      <w:r>
        <w:t xml:space="preserve">2) о типовых случаях конфликтов интересов и порядок их урегулирования;</w:t>
      </w:r>
    </w:p>
    <w:p>
      <w:pPr>
        <w:pStyle w:val="BodyText"/>
      </w:pPr>
      <w:r>
        <w:t xml:space="preserve">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pPr>
        <w:pStyle w:val="BodyText"/>
      </w:pPr>
      <w: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BodyText"/>
      </w:pPr>
      <w:r>
        <w:t xml:space="preserve">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pPr>
        <w:pStyle w:val="BodyText"/>
      </w:pPr>
      <w:r>
        <w:t xml:space="preserve">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pPr>
        <w:pStyle w:val="BodyText"/>
      </w:pPr>
      <w:r>
        <w:t xml:space="preserve">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pPr>
        <w:pStyle w:val="BodyText"/>
      </w:pPr>
      <w:r>
        <w:t xml:space="preserve">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pPr>
        <w:pStyle w:val="BodyText"/>
      </w:pPr>
      <w:r>
        <w:t xml:space="preserve">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pPr>
        <w:pStyle w:val="BodyText"/>
      </w:pPr>
      <w:r>
        <w:t xml:space="preserve">В связи с этим необходимо, в частности:</w:t>
      </w:r>
    </w:p>
    <w:p>
      <w:pPr>
        <w:numPr>
          <w:ilvl w:val="0"/>
          <w:numId w:val="1006"/>
        </w:numPr>
        <w:pStyle w:val="Compact"/>
      </w:pPr>
      <w:r>
        <w:t xml:space="preserve">закрепить требования о конфиденциальности информации о личности заявителя;</w:t>
      </w:r>
    </w:p>
    <w:p>
      <w:pPr>
        <w:numPr>
          <w:ilvl w:val="0"/>
          <w:numId w:val="1006"/>
        </w:numPr>
        <w:pStyle w:val="Compact"/>
      </w:pPr>
      <w:r>
        <w:t xml:space="preserve">установить режим доступа к журналу входящей корреспонденции, содержащему данные, позволяющие идентифицировать личность заявителя;</w:t>
      </w:r>
    </w:p>
    <w:p>
      <w:pPr>
        <w:numPr>
          <w:ilvl w:val="0"/>
          <w:numId w:val="1006"/>
        </w:numPr>
        <w:pStyle w:val="Compact"/>
      </w:pPr>
      <w: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pPr>
        <w:pStyle w:val="FirstParagraph"/>
      </w:pPr>
      <w:r>
        <w:t xml:space="preserve">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BodyText"/>
      </w:pPr>
      <w:r>
        <w:t xml:space="preserve">В число мер по реализации данного направления необходимо включить следующие.</w:t>
      </w:r>
    </w:p>
    <w:p>
      <w:pPr>
        <w:pStyle w:val="BodyText"/>
      </w:pPr>
      <w:r>
        <w:t xml:space="preserve">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pPr>
        <w:numPr>
          <w:ilvl w:val="0"/>
          <w:numId w:val="1007"/>
        </w:numPr>
        <w:pStyle w:val="Compact"/>
      </w:pPr>
      <w:r>
        <w:t xml:space="preserve">дача взятки должностному лицу наказывается лишением свободы.</w:t>
      </w:r>
    </w:p>
    <w:p>
      <w:pPr>
        <w:numPr>
          <w:ilvl w:val="0"/>
          <w:numId w:val="1007"/>
        </w:numPr>
        <w:pStyle w:val="Compact"/>
      </w:pPr>
      <w:r>
        <w:t xml:space="preserve">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pPr>
        <w:numPr>
          <w:ilvl w:val="0"/>
          <w:numId w:val="1007"/>
        </w:numPr>
        <w:pStyle w:val="Compact"/>
      </w:pPr>
      <w:r>
        <w:t xml:space="preserve">государственному служащему запрещается принимать подарки в связи с исполнением служебных обязанностей вне зависимости от стоимости подарка.</w:t>
      </w:r>
    </w:p>
    <w:p>
      <w:pPr>
        <w:pStyle w:val="FirstParagraph"/>
      </w:pPr>
      <w:r>
        <w:t xml:space="preserve">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pPr>
        <w:pStyle w:val="BodyText"/>
      </w:pPr>
      <w:r>
        <w:t xml:space="preserve">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pPr>
        <w:pStyle w:val="BodyText"/>
      </w:pPr>
      <w:r>
        <w:t xml:space="preserve">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BodyText"/>
      </w:pPr>
      <w:r>
        <w:br/>
      </w:r>
    </w:p>
    <w:p>
      <w:pPr>
        <w:pStyle w:val="BodyText"/>
      </w:pPr>
      <w:r>
        <w:t xml:space="preserve">Адрес страницы:</w:t>
      </w:r>
      <w:r>
        <w:t xml:space="preserve"> </w:t>
      </w:r>
      <w:hyperlink r:id="rId21">
        <w:r>
          <w:rPr>
            <w:rStyle w:val="Hyperlink"/>
          </w:rPr>
          <w:t xml:space="preserve">http://moscowdebt.mos.ru/anti-corruption/methodical-materials/detail/8279144.html</w:t>
        </w:r>
      </w:hyperlink>
    </w:p>
    <w:p>
      <w:pPr>
        <w:pStyle w:val="BodyText"/>
      </w:pPr>
      <w:hyperlink r:id="rId22">
        <w:r>
          <w:rPr>
            <w:rStyle w:val="Hyperlink"/>
          </w:rPr>
          <w:t xml:space="preserve">ГБУ города Москвы «Финансовое агентство»</w:t>
        </w:r>
      </w:hyperlink>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moscowdebt.mos.ru" TargetMode="External" /><Relationship Type="http://schemas.openxmlformats.org/officeDocument/2006/relationships/hyperlink" Id="rId21" Target="http://moscowdebt.mos.ru/anti-corruption/methodical-materials/detail/8279144.html" TargetMode="External" /><Relationship Type="http://schemas.openxmlformats.org/officeDocument/2006/relationships/hyperlink" Id="rId20" Target="http://www.rosmintrud.ru/ministry/programms/gossluzhba/antikorr/5/0" TargetMode="External" /></Relationships>
</file>

<file path=word/_rels/footnotes.xml.rels><?xml version="1.0" encoding="UTF-8"?><Relationships xmlns="http://schemas.openxmlformats.org/package/2006/relationships"><Relationship Type="http://schemas.openxmlformats.org/officeDocument/2006/relationships/hyperlink" Id="rId22" Target="http://moscowdebt.mos.ru" TargetMode="External" /><Relationship Type="http://schemas.openxmlformats.org/officeDocument/2006/relationships/hyperlink" Id="rId21" Target="http://moscowdebt.mos.ru/anti-corruption/methodical-materials/detail/8279144.html" TargetMode="External" /><Relationship Type="http://schemas.openxmlformats.org/officeDocument/2006/relationships/hyperlink" Id="rId20" Target="http://www.rosmintrud.ru/ministry/programms/gossluzhba/antikorr/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2024-08-30T05:51:20Z</dcterms:created>
  <dcterms:modified xsi:type="dcterms:W3CDTF">2024-08-30T05:51:20Z</dcterms:modified>
</cp:coreProperties>
</file>

<file path=docProps/custom.xml><?xml version="1.0" encoding="utf-8"?>
<Properties xmlns="http://schemas.openxmlformats.org/officeDocument/2006/custom-properties" xmlns:vt="http://schemas.openxmlformats.org/officeDocument/2006/docPropsVTypes"/>
</file>