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c6e562bf7fbb8a9f4efab19e59d322f0da8d2"/>
    <w:p>
      <w:pPr>
        <w:pStyle w:val="Heading3"/>
      </w:pPr>
      <w:r>
        <w:t xml:space="preserve">Указ Мэра Москвы от 28 апреля 2016 г. N 22-УМ</w:t>
      </w:r>
    </w:p>
    <w:p>
      <w:pPr>
        <w:pStyle w:val="FirstParagraph"/>
      </w:pPr>
      <w:r>
        <w:t xml:space="preserve">13.08.2019</w:t>
      </w:r>
    </w:p>
    <w:bookmarkStart w:id="22" w:name="Xda3db35736fdf9702600fb97b36da72b040ff4d"/>
    <w:p>
      <w:pPr>
        <w:pStyle w:val="Heading4"/>
      </w:pPr>
      <w:r>
        <w:t xml:space="preserve">"Об утверждении Положения о порядке сообщения лицами, замещающими отдельные государственные должности города Москвы, должности государственной гражданской службы города Москвы,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интересов, и о внесении изменений в правовые акты города Москвы"</w:t>
      </w:r>
    </w:p>
    <w:p>
      <w:pPr>
        <w:pStyle w:val="FirstParagraph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10.05.2016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http://moscowdebt.mos.ru/anti-corruption/methodical-materials/detail/8279153.html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2024-11-07T06:43:59Z</dcterms:created>
  <dcterms:modified xsi:type="dcterms:W3CDTF">2024-11-07T06:43:59Z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