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3139de93d4f480e438c21263bb3e7c162e4df"/>
    <w:p>
      <w:pPr>
        <w:pStyle w:val="Heading3"/>
      </w:pPr>
      <w:r>
        <w:t xml:space="preserve">Об утверждении Кодекса этики и служебного поведения государственных гражданских служащих Аппарата Мэра и Правительства Москвы</w:t>
      </w:r>
    </w:p>
    <w:p>
      <w:pPr>
        <w:pStyle w:val="FirstParagraph"/>
      </w:pPr>
      <w:r>
        <w:t xml:space="preserve">13.08.2019</w:t>
      </w:r>
    </w:p>
    <w:p>
      <w:pPr>
        <w:pStyle w:val="BodyText"/>
      </w:pPr>
      <w:r>
        <w:t xml:space="preserve">Дата публикации:</w:t>
      </w:r>
      <w:r>
        <w:t xml:space="preserve"> </w:t>
      </w:r>
      <w:r>
        <w:rPr>
          <w:bCs/>
          <w:b/>
        </w:rPr>
        <w:t xml:space="preserve">20.03.2018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http://moscowdebt.mos.ru/anti-corruption/methodical-materials/detail/8279194.html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«Финансовое агентство»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anti-corruption/methodical-materials/detail/8279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anti-corruption/methodical-materials/detail/8279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2025-07-27T12:52:30Z</dcterms:created>
  <dcterms:modified xsi:type="dcterms:W3CDTF">2025-07-27T12:52:30Z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