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ba2bde90c0ffc6679d0af2bc6228c3d3c34d19"/>
    <w:p>
      <w:pPr>
        <w:pStyle w:val="Heading3"/>
      </w:pPr>
      <w:r>
        <w:t xml:space="preserve">Памятка о соблюдении запрета на дарение и получение подарков</w:t>
      </w:r>
    </w:p>
    <w:p>
      <w:pPr>
        <w:pStyle w:val="FirstParagraph"/>
      </w:pPr>
      <w:r>
        <w:t xml:space="preserve">17.12.2019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http://moscowdebt.mos.ru/anti-corruption/methodical-materials/detail/8571245.html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ГБУ города Москвы «Финансовое агентство»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scowdebt.mos.ru" TargetMode="External" /><Relationship Type="http://schemas.openxmlformats.org/officeDocument/2006/relationships/hyperlink" Id="rId20" Target="http://moscowdebt.mos.ru/anti-corruption/methodical-materials/detail/857124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scowdebt.mos.ru" TargetMode="External" /><Relationship Type="http://schemas.openxmlformats.org/officeDocument/2006/relationships/hyperlink" Id="rId20" Target="http://moscowdebt.mos.ru/anti-corruption/methodical-materials/detail/857124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2024-04-13T12:53:10Z</dcterms:created>
  <dcterms:modified xsi:type="dcterms:W3CDTF">2024-04-13T12:53:10Z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