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e92393b7653aa9646c6075005b3fe45d32fb5"/>
    <w:p>
      <w:pPr>
        <w:pStyle w:val="Heading3"/>
      </w:pPr>
      <w:r>
        <w:t xml:space="preserve">Методические рекомендации по проведению работы, направленной на выявление личной заинтересованности государственных и муниципальных служащих, работников при осуществлении закупок в соответствии с ФЗ №44-ФЗ и ФЗ №223-ФЗ</w:t>
      </w:r>
    </w:p>
    <w:p>
      <w:pPr>
        <w:pStyle w:val="FirstParagraph"/>
      </w:pPr>
      <w:r>
        <w:t xml:space="preserve">15.06.2020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http://moscowdebt.mos.ru/anti-corruption/methodical-materials/detail/8965805.html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«Финансовое агентство»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anti-corruption/methodical-materials/detail/8965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anti-corruption/methodical-materials/detail/8965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2024-08-26T23:31:12Z</dcterms:created>
  <dcterms:modified xsi:type="dcterms:W3CDTF">2024-08-26T23:31:12Z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