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2ad5c7c456427ed6e8a6083db544864674f5c"/>
    <w:p>
      <w:pPr>
        <w:pStyle w:val="Heading3"/>
      </w:pPr>
      <w:r>
        <w:t xml:space="preserve">Отчет о выполнении Плана противодействия коррупции в ГБУ Мосфинагентство за 1 полугодие 2020 г.</w:t>
      </w:r>
    </w:p>
    <w:p>
      <w:pPr>
        <w:pStyle w:val="FirstParagraph"/>
      </w:pPr>
      <w:r>
        <w:t xml:space="preserve">05.06.2020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http://moscowdebt.mos.ru/anti-corruption/plans-papers-reports-reviews-static-information-on-combating-corruption/detail/8948613.html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«Финансовое агентство»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anti-corruption/plans-papers-reports-reviews-static-information-on-combating-corruption/detail/89486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anti-corruption/plans-papers-reports-reviews-static-information-on-combating-corruption/detail/89486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2025-07-27T12:52:33Z</dcterms:created>
  <dcterms:modified xsi:type="dcterms:W3CDTF">2025-07-27T12:52:33Z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