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42150c18fcf94168ece5b8e48d998dde2aee9"/>
    <w:p>
      <w:pPr>
        <w:pStyle w:val="Heading3"/>
      </w:pPr>
      <w:r>
        <w:t xml:space="preserve">Безработица в еврозоне в ноябре 2022 года составила менее 7%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t xml:space="preserve">Безработица в еврозоне в ноябре 2022 года составила 6,5% - это минимальный показатель за всю историю ведения расчетов. При этом в ноябре 2021 года безработица в регионе составляла 7,1%. Общее количество безработных в еврозоне в ноябре 2022 года составило 10,8 млн, что также является минимумом с начала отслеживания этих данных в 1995 году.</w:t>
      </w:r>
    </w:p>
    <w:p>
      <w:pPr>
        <w:pStyle w:val="BodyText"/>
      </w:pPr>
      <w:r>
        <w:t xml:space="preserve">Безработица среди молодежи (до 25 лет) выросла до 15,1%. Самый высокий уровень безработицы среди крупнейших экономик еврозоны зафиксирован в Испании - 12,4%. В Италии она составила 7,8%, во Франции - 7%, в Нидерландах - 3,6%, в Германии - 3%.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http://moscowdebt.mos.ru/presscenter/news/detail/11333980.html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1333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1333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2023-10-10T11:37:07Z</dcterms:created>
  <dcterms:modified xsi:type="dcterms:W3CDTF">2023-10-10T11:37:07Z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