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d0ba85d5a53b56c77797496ebe272c4aa2eca"/>
    <w:p>
      <w:pPr>
        <w:pStyle w:val="Heading3"/>
      </w:pPr>
      <w:r>
        <w:t xml:space="preserve">Доля рублевых платежей во внешнеторговом обороте России 2025 года в мае 2025 года превысила 54%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Согласно данным Банка России о валютной структуре внешнеторговых расчетов доля платежей в российских рублях при оплате за импорт товаров и услуг в страну в мае 2025 года составила 54,7%. В течение января-мая 2025 года показатель не снижался ниже 50%.</w:t>
      </w:r>
    </w:p>
    <w:p>
      <w:pPr>
        <w:pStyle w:val="BodyText"/>
      </w:pPr>
      <w:r>
        <w:t xml:space="preserve">Доля платежей в рублях за российский экспорт обновила рекордный уровень, достигнув 52,4%. Впервые больше половины стоимости месячного экспорта покупатели оплатили рублями в апреле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http://moscowdebt.mos.ru/presscenter/news/detail/13107687.html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presscenter/news/detail/13107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presscenter/news/detail/13107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2025-08-05T21:44:21Z</dcterms:created>
  <dcterms:modified xsi:type="dcterms:W3CDTF">2025-08-05T21:44:21Z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